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70" w:rsidRPr="00530770" w:rsidRDefault="00530770" w:rsidP="003005EB">
      <w:pPr>
        <w:shd w:val="clear" w:color="auto" w:fill="F5F5F5"/>
        <w:spacing w:after="300" w:line="488" w:lineRule="atLeast"/>
        <w:outlineLvl w:val="0"/>
        <w:rPr>
          <w:rFonts w:ascii="Helvetica" w:eastAsia="Times New Roman" w:hAnsi="Helvetica" w:cs="Times New Roman"/>
          <w:color w:val="333333"/>
          <w:kern w:val="36"/>
          <w:sz w:val="39"/>
          <w:szCs w:val="39"/>
          <w:lang w:val="fr-BE"/>
        </w:rPr>
      </w:pPr>
      <w:r w:rsidRPr="00530770">
        <w:rPr>
          <w:rFonts w:ascii="Helvetica" w:eastAsia="Times New Roman" w:hAnsi="Helvetica" w:cs="Times New Roman"/>
          <w:color w:val="333333"/>
          <w:kern w:val="36"/>
          <w:sz w:val="39"/>
          <w:szCs w:val="39"/>
          <w:lang w:val="fr-BE"/>
        </w:rPr>
        <w:t>Louvain</w:t>
      </w:r>
      <w:r>
        <w:rPr>
          <w:rFonts w:ascii="Helvetica" w:eastAsia="Times New Roman" w:hAnsi="Helvetica" w:cs="Times New Roman"/>
          <w:color w:val="333333"/>
          <w:kern w:val="36"/>
          <w:sz w:val="39"/>
          <w:szCs w:val="39"/>
          <w:lang w:val="fr-BE"/>
        </w:rPr>
        <w:t xml:space="preserve"> Coopération (UCL)</w:t>
      </w:r>
      <w:bookmarkStart w:id="0" w:name="_GoBack"/>
      <w:bookmarkEnd w:id="0"/>
    </w:p>
    <w:p w:rsidR="003005EB" w:rsidRPr="003005EB" w:rsidRDefault="003005EB" w:rsidP="003005EB">
      <w:pPr>
        <w:shd w:val="clear" w:color="auto" w:fill="F5F5F5"/>
        <w:spacing w:after="300" w:line="488" w:lineRule="atLeast"/>
        <w:outlineLvl w:val="0"/>
        <w:rPr>
          <w:rFonts w:ascii="Helvetica" w:eastAsia="Times New Roman" w:hAnsi="Helvetica" w:cs="Times New Roman"/>
          <w:color w:val="333333"/>
          <w:kern w:val="36"/>
          <w:sz w:val="39"/>
          <w:szCs w:val="39"/>
          <w:lang w:val="fr-BE"/>
        </w:rPr>
      </w:pPr>
      <w:r w:rsidRPr="003005EB">
        <w:rPr>
          <w:rFonts w:ascii="Helvetica" w:eastAsia="Times New Roman" w:hAnsi="Helvetica" w:cs="Times New Roman"/>
          <w:color w:val="333333"/>
          <w:kern w:val="36"/>
          <w:sz w:val="39"/>
          <w:szCs w:val="39"/>
          <w:lang w:val="fr-BE"/>
        </w:rPr>
        <w:t>Directeur National en RD Congo</w:t>
      </w:r>
    </w:p>
    <w:p w:rsidR="003005EB" w:rsidRPr="003005EB" w:rsidRDefault="003005EB" w:rsidP="003005EB">
      <w:pPr>
        <w:shd w:val="clear" w:color="auto" w:fill="F5F5F5"/>
        <w:spacing w:after="270" w:line="345" w:lineRule="atLeast"/>
        <w:rPr>
          <w:rFonts w:ascii="Georgia" w:eastAsia="Times New Roman" w:hAnsi="Georgia" w:cs="Times New Roman"/>
          <w:color w:val="666666"/>
          <w:sz w:val="24"/>
          <w:szCs w:val="24"/>
          <w:lang w:val="fr-BE"/>
        </w:rPr>
      </w:pPr>
      <w:r w:rsidRPr="003005EB">
        <w:rPr>
          <w:rFonts w:ascii="Georgia" w:eastAsia="Times New Roman" w:hAnsi="Georgia" w:cs="Times New Roman"/>
          <w:b/>
          <w:bCs/>
          <w:color w:val="333333"/>
          <w:sz w:val="24"/>
          <w:szCs w:val="24"/>
          <w:lang w:val="fr-BE"/>
        </w:rPr>
        <w:t>Mission principale </w:t>
      </w:r>
      <w:r w:rsidRPr="003005EB">
        <w:rPr>
          <w:rFonts w:ascii="Georgia" w:eastAsia="Times New Roman" w:hAnsi="Georgia" w:cs="Times New Roman"/>
          <w:color w:val="666666"/>
          <w:sz w:val="24"/>
          <w:szCs w:val="24"/>
          <w:lang w:val="fr-BE"/>
        </w:rPr>
        <w:t>: Gérer la Direction du Programme National de Louvain Coopération (ONG de l’UCL) en RD Congo et organiser la stratégie et la visibilité de l’entité.</w:t>
      </w:r>
    </w:p>
    <w:p w:rsidR="003005EB" w:rsidRPr="003005EB" w:rsidRDefault="003005EB" w:rsidP="003005EB">
      <w:pPr>
        <w:shd w:val="clear" w:color="auto" w:fill="F5F5F5"/>
        <w:spacing w:after="270" w:line="345" w:lineRule="atLeast"/>
        <w:rPr>
          <w:rFonts w:ascii="Georgia" w:eastAsia="Times New Roman" w:hAnsi="Georgia" w:cs="Times New Roman"/>
          <w:color w:val="666666"/>
          <w:sz w:val="24"/>
          <w:szCs w:val="24"/>
          <w:lang w:val="fr-BE"/>
        </w:rPr>
      </w:pPr>
      <w:r w:rsidRPr="003005EB">
        <w:rPr>
          <w:rFonts w:ascii="Georgia" w:eastAsia="Times New Roman" w:hAnsi="Georgia" w:cs="Times New Roman"/>
          <w:b/>
          <w:bCs/>
          <w:color w:val="333333"/>
          <w:sz w:val="24"/>
          <w:szCs w:val="24"/>
          <w:lang w:val="fr-BE"/>
        </w:rPr>
        <w:t>Contexte général : </w:t>
      </w:r>
      <w:r w:rsidRPr="003005EB">
        <w:rPr>
          <w:rFonts w:ascii="Georgia" w:eastAsia="Times New Roman" w:hAnsi="Georgia" w:cs="Times New Roman"/>
          <w:color w:val="666666"/>
          <w:sz w:val="24"/>
          <w:szCs w:val="24"/>
          <w:lang w:val="fr-BE"/>
        </w:rPr>
        <w:t>Louvain Coopération au Développement (LC) est l’ONG de coopération au développement de l’Université Catholique de Louvain (UCL). Pour LC, le développement est un processus de transformation sociale permanent et dynamique qui donne aux populations les plus défavorisées la possibilité de construire une société plus juste où chacun se sent capable de réaliser son potentiel humain. La spécificité de LC est de contribuer à cette vision du développement en mobilisant les ressources humaines et scientifiques de la communauté universitaire. Au Sud, LC appuie des actions en santé, accès aux soins de santé et en sécurité alimentaire et économique, en Afrique Centrale (RDC, Burundi et probablement Rwanda), en Afrique de l’Ouest (Bénin, Togo et probablement Burkina Faso), en Amérique Andine (Bolivie et Pérou), à Madagascar et au Cambodge. Au Nord, LC contribue à des actions d’Education au Développement. Actuellement, LC conduit une vingtaine de projets de développement, elle emploie une centaine de collaborateurs, d’horizons et de cultures différentes et gère un budget d’environ 7 millions d’€ par an.</w:t>
      </w:r>
    </w:p>
    <w:p w:rsidR="003005EB" w:rsidRPr="003005EB" w:rsidRDefault="003005EB" w:rsidP="003005EB">
      <w:pPr>
        <w:shd w:val="clear" w:color="auto" w:fill="F5F5F5"/>
        <w:spacing w:after="270" w:line="345" w:lineRule="atLeast"/>
        <w:rPr>
          <w:rFonts w:ascii="Georgia" w:eastAsia="Times New Roman" w:hAnsi="Georgia" w:cs="Times New Roman"/>
          <w:color w:val="666666"/>
          <w:sz w:val="24"/>
          <w:szCs w:val="24"/>
          <w:lang w:val="fr-BE"/>
        </w:rPr>
      </w:pPr>
      <w:r w:rsidRPr="003005EB">
        <w:rPr>
          <w:rFonts w:ascii="Georgia" w:eastAsia="Times New Roman" w:hAnsi="Georgia" w:cs="Times New Roman"/>
          <w:b/>
          <w:bCs/>
          <w:color w:val="333333"/>
          <w:sz w:val="24"/>
          <w:szCs w:val="24"/>
          <w:lang w:val="fr-BE"/>
        </w:rPr>
        <w:t>Contexte en RDC</w:t>
      </w:r>
      <w:r w:rsidRPr="003005EB">
        <w:rPr>
          <w:rFonts w:ascii="Georgia" w:eastAsia="Times New Roman" w:hAnsi="Georgia" w:cs="Times New Roman"/>
          <w:color w:val="666666"/>
          <w:sz w:val="24"/>
          <w:szCs w:val="24"/>
          <w:lang w:val="fr-BE"/>
        </w:rPr>
        <w:t xml:space="preserve"> : le bureau de la Direction Nationale de RDC est situé à Bukavu, au Sud-Kivu. Elle coordonne une équipe locale pluridisciplinaire de 5-6 personnes (hors gardiens et chauffeurs). Les domaines d’intervention sont la santé (appui global aux soins de santé primaires et aux maladies chroniques, en particulier le diabète et la santé mentale) et la sécurité alimentaire et économique (SAE) (appui à l’agriculture familiale, aux activités génératrices de revenu, à l’entrepreneuriat, à la structuration paysanne et à la microfinance rurale). Ces projets sont mis en œuvre dans le Sud-Kivu et à Kinshasa (un projet Enfants des rues), avec une dizaine de partenaires locaux, pour un budget total annuel d’un peu moins de 1 million d’euros, financés principalement par la DGD (Coopération Belge) et la Fondation </w:t>
      </w:r>
      <w:proofErr w:type="spellStart"/>
      <w:r w:rsidRPr="003005EB">
        <w:rPr>
          <w:rFonts w:ascii="Georgia" w:eastAsia="Times New Roman" w:hAnsi="Georgia" w:cs="Times New Roman"/>
          <w:color w:val="666666"/>
          <w:sz w:val="24"/>
          <w:szCs w:val="24"/>
          <w:lang w:val="fr-BE"/>
        </w:rPr>
        <w:t>Monsengwo</w:t>
      </w:r>
      <w:proofErr w:type="spellEnd"/>
      <w:r w:rsidRPr="003005EB">
        <w:rPr>
          <w:rFonts w:ascii="Georgia" w:eastAsia="Times New Roman" w:hAnsi="Georgia" w:cs="Times New Roman"/>
          <w:color w:val="666666"/>
          <w:sz w:val="24"/>
          <w:szCs w:val="24"/>
          <w:lang w:val="fr-BE"/>
        </w:rPr>
        <w:t>.</w:t>
      </w:r>
    </w:p>
    <w:p w:rsidR="003005EB" w:rsidRPr="003005EB" w:rsidRDefault="003005EB" w:rsidP="003005EB">
      <w:pPr>
        <w:shd w:val="clear" w:color="auto" w:fill="F5F5F5"/>
        <w:spacing w:after="270" w:line="345" w:lineRule="atLeast"/>
        <w:rPr>
          <w:rFonts w:ascii="Georgia" w:eastAsia="Times New Roman" w:hAnsi="Georgia" w:cs="Times New Roman"/>
          <w:color w:val="666666"/>
          <w:sz w:val="24"/>
          <w:szCs w:val="24"/>
          <w:lang w:val="fr-BE"/>
        </w:rPr>
      </w:pPr>
      <w:r w:rsidRPr="003005EB">
        <w:rPr>
          <w:rFonts w:ascii="Georgia" w:eastAsia="Times New Roman" w:hAnsi="Georgia" w:cs="Times New Roman"/>
          <w:b/>
          <w:bCs/>
          <w:color w:val="333333"/>
          <w:sz w:val="24"/>
          <w:szCs w:val="24"/>
          <w:lang w:val="fr-BE"/>
        </w:rPr>
        <w:t>Position dans la structure :</w:t>
      </w:r>
    </w:p>
    <w:p w:rsidR="003005EB" w:rsidRPr="003005EB" w:rsidRDefault="003005EB" w:rsidP="003005EB">
      <w:pPr>
        <w:shd w:val="clear" w:color="auto" w:fill="F5F5F5"/>
        <w:spacing w:after="270" w:line="345" w:lineRule="atLeast"/>
        <w:rPr>
          <w:rFonts w:ascii="Georgia" w:eastAsia="Times New Roman" w:hAnsi="Georgia" w:cs="Times New Roman"/>
          <w:color w:val="666666"/>
          <w:sz w:val="24"/>
          <w:szCs w:val="24"/>
          <w:lang w:val="fr-BE"/>
        </w:rPr>
      </w:pPr>
      <w:r w:rsidRPr="003005EB">
        <w:rPr>
          <w:rFonts w:ascii="Georgia" w:eastAsia="Times New Roman" w:hAnsi="Georgia" w:cs="Times New Roman"/>
          <w:b/>
          <w:bCs/>
          <w:color w:val="333333"/>
          <w:sz w:val="24"/>
          <w:szCs w:val="24"/>
          <w:lang w:val="fr-BE"/>
        </w:rPr>
        <w:t> </w:t>
      </w:r>
    </w:p>
    <w:p w:rsidR="003005EB" w:rsidRPr="003005EB" w:rsidRDefault="003005EB" w:rsidP="003005EB">
      <w:pPr>
        <w:shd w:val="clear" w:color="auto" w:fill="F5F5F5"/>
        <w:spacing w:after="270" w:line="345" w:lineRule="atLeast"/>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lastRenderedPageBreak/>
        <w:t>Le Directeur National :</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Répond hiérarchiquement au Directeur Général pour les matières administratives, financières et stratégiques</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Répond de manière fonctionnelle au Coordinateur des Programmes Sud pour les aspects opérationnels</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Collabore avec les Experts domaines du siège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Est membre associé au comité programme du siège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Dirige les comités staff et opérationnel de sa Direction Nationale</w:t>
      </w:r>
    </w:p>
    <w:p w:rsidR="003005EB" w:rsidRPr="003005EB" w:rsidRDefault="003005EB" w:rsidP="003005EB">
      <w:pPr>
        <w:numPr>
          <w:ilvl w:val="0"/>
          <w:numId w:val="1"/>
        </w:numPr>
        <w:shd w:val="clear" w:color="auto" w:fill="F5F5F5"/>
        <w:spacing w:after="270" w:line="345" w:lineRule="atLeast"/>
        <w:ind w:left="0"/>
        <w:rPr>
          <w:rFonts w:ascii="Georgia" w:eastAsia="Times New Roman" w:hAnsi="Georgia" w:cs="Times New Roman"/>
          <w:color w:val="666666"/>
          <w:sz w:val="24"/>
          <w:szCs w:val="24"/>
        </w:rPr>
      </w:pPr>
      <w:proofErr w:type="spellStart"/>
      <w:r w:rsidRPr="003005EB">
        <w:rPr>
          <w:rFonts w:ascii="Georgia" w:eastAsia="Times New Roman" w:hAnsi="Georgia" w:cs="Times New Roman"/>
          <w:b/>
          <w:bCs/>
          <w:color w:val="333333"/>
          <w:sz w:val="24"/>
          <w:szCs w:val="24"/>
        </w:rPr>
        <w:t>Fonction</w:t>
      </w:r>
      <w:proofErr w:type="spellEnd"/>
      <w:r w:rsidRPr="003005EB">
        <w:rPr>
          <w:rFonts w:ascii="Georgia" w:eastAsia="Times New Roman" w:hAnsi="Georgia" w:cs="Times New Roman"/>
          <w:b/>
          <w:bCs/>
          <w:color w:val="333333"/>
          <w:sz w:val="24"/>
          <w:szCs w:val="24"/>
        </w:rPr>
        <w:t> </w:t>
      </w:r>
      <w:r w:rsidRPr="003005EB">
        <w:rPr>
          <w:rFonts w:ascii="Georgia" w:eastAsia="Times New Roman" w:hAnsi="Georgia" w:cs="Times New Roman"/>
          <w:color w:val="666666"/>
          <w:sz w:val="24"/>
          <w:szCs w:val="24"/>
        </w:rPr>
        <w:t>:</w:t>
      </w:r>
    </w:p>
    <w:p w:rsidR="003005EB" w:rsidRPr="003005EB" w:rsidRDefault="003005EB" w:rsidP="003005EB">
      <w:pPr>
        <w:shd w:val="clear" w:color="auto" w:fill="F5F5F5"/>
        <w:spacing w:after="270" w:line="345" w:lineRule="atLeast"/>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Le DN RDC est en charge :</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cohérence entre le programme national et les cadres stratégiques de LC</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D’assurer la supervision et la qualité des projets mis en œuvre dans sa zone en coordination avec l’équipe du siège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gestion des ressources à disposition de la DN RDC</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Des relations avec les partenaires locaux, les bailleurs de fonds et autres réseaux locaux</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l’initiative pour le démarrage de nouveaux programmes et projets, en tenant compte notamment des initiatives existantes ou à venir du corps professoral académique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xml:space="preserve">            De la supervision, du suivi et de l’accompagnement des programmes et projets et du </w:t>
      </w:r>
      <w:proofErr w:type="spellStart"/>
      <w:r w:rsidRPr="003005EB">
        <w:rPr>
          <w:rFonts w:ascii="Georgia" w:eastAsia="Times New Roman" w:hAnsi="Georgia" w:cs="Times New Roman"/>
          <w:color w:val="666666"/>
          <w:sz w:val="24"/>
          <w:szCs w:val="24"/>
          <w:lang w:val="fr-BE"/>
        </w:rPr>
        <w:t>reporting</w:t>
      </w:r>
      <w:proofErr w:type="spellEnd"/>
      <w:r w:rsidRPr="003005EB">
        <w:rPr>
          <w:rFonts w:ascii="Georgia" w:eastAsia="Times New Roman" w:hAnsi="Georgia" w:cs="Times New Roman"/>
          <w:color w:val="666666"/>
          <w:sz w:val="24"/>
          <w:szCs w:val="24"/>
          <w:lang w:val="fr-BE"/>
        </w:rPr>
        <w:t xml:space="preserve"> au siège, en ce incluses les opportunités et les menaces liées à l’évolution du contexte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supervision de la préparation des budgets et du suivi financier dont la présentation des comptes et la justification des dépenses par programmes, projets et par entités respectives</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préparation et du suivi des visites, missions, consultances et stages</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l’évaluation des performances de l’équipe sur base de la méthodologie institutionnelle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supervision du lien avec le programme Nord</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coordonner la gestion de l’information et la capitalisation au sein de la DN RDC</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lastRenderedPageBreak/>
        <w:t>            De la supervision et de l’évaluation des programmes et projets en collaboration avec les responsables ou experts domaines</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communication et de la visibilité en RDC, en veillant en particulier à la promotion des complémentarités et synergies et à la recherche de fonds locaux, en collaboration avec tous les acteurs de terrain de l’entité</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représentation légale en RDC</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De la représentation de l’institution au sein des réseaux locaux et vis-à-vis des tiers, en particulier les bénéficiaires</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rPr>
      </w:pPr>
      <w:proofErr w:type="spellStart"/>
      <w:r w:rsidRPr="003005EB">
        <w:rPr>
          <w:rFonts w:ascii="Georgia" w:eastAsia="Times New Roman" w:hAnsi="Georgia" w:cs="Times New Roman"/>
          <w:b/>
          <w:bCs/>
          <w:color w:val="333333"/>
          <w:sz w:val="24"/>
          <w:szCs w:val="24"/>
        </w:rPr>
        <w:t>Profil</w:t>
      </w:r>
      <w:proofErr w:type="spellEnd"/>
      <w:r w:rsidRPr="003005EB">
        <w:rPr>
          <w:rFonts w:ascii="Georgia" w:eastAsia="Times New Roman" w:hAnsi="Georgia" w:cs="Times New Roman"/>
          <w:b/>
          <w:bCs/>
          <w:color w:val="333333"/>
          <w:sz w:val="24"/>
          <w:szCs w:val="24"/>
        </w:rPr>
        <w:t xml:space="preserve"> de poste :</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Diplôme de niveau universitaire ou équivalent, dans un domaine lié aux activités de la DN RDC (Sécurité Alimentaire et Economique ou Santé)</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Expérience d’au moins 5 ans dans le secteur de la coopération au développement, dont au moins 3 ans dans un pays en développement</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Expérience confirmée de gestion de projet et d’équipe (stratégie, finances, RH, représentation)</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Expérience de la formulation, l’exécution et l’évaluation de programmes/projets de développement</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Connaissance de la problématique du développement en général et du développement durable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Maîtrise du cadre logique, des méthodes de Gestion du Cycle de Projet, de la Gestion Axée sur les Résultats et capacité à transmettre ses connaissances</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rPr>
      </w:pPr>
      <w:r w:rsidRPr="003005EB">
        <w:rPr>
          <w:rFonts w:ascii="Georgia" w:eastAsia="Times New Roman" w:hAnsi="Georgia" w:cs="Times New Roman"/>
          <w:color w:val="666666"/>
          <w:sz w:val="24"/>
          <w:szCs w:val="24"/>
          <w:lang w:val="fr-BE"/>
        </w:rPr>
        <w:t xml:space="preserve">           </w:t>
      </w:r>
      <w:proofErr w:type="spellStart"/>
      <w:r w:rsidRPr="003005EB">
        <w:rPr>
          <w:rFonts w:ascii="Georgia" w:eastAsia="Times New Roman" w:hAnsi="Georgia" w:cs="Times New Roman"/>
          <w:color w:val="666666"/>
          <w:sz w:val="24"/>
          <w:szCs w:val="24"/>
        </w:rPr>
        <w:t>Expérience</w:t>
      </w:r>
      <w:proofErr w:type="spellEnd"/>
      <w:r w:rsidRPr="003005EB">
        <w:rPr>
          <w:rFonts w:ascii="Georgia" w:eastAsia="Times New Roman" w:hAnsi="Georgia" w:cs="Times New Roman"/>
          <w:color w:val="666666"/>
          <w:sz w:val="24"/>
          <w:szCs w:val="24"/>
        </w:rPr>
        <w:t xml:space="preserve"> de </w:t>
      </w:r>
      <w:proofErr w:type="spellStart"/>
      <w:r w:rsidRPr="003005EB">
        <w:rPr>
          <w:rFonts w:ascii="Georgia" w:eastAsia="Times New Roman" w:hAnsi="Georgia" w:cs="Times New Roman"/>
          <w:color w:val="666666"/>
          <w:sz w:val="24"/>
          <w:szCs w:val="24"/>
        </w:rPr>
        <w:t>partenariat</w:t>
      </w:r>
      <w:proofErr w:type="spellEnd"/>
      <w:r w:rsidRPr="003005EB">
        <w:rPr>
          <w:rFonts w:ascii="Georgia" w:eastAsia="Times New Roman" w:hAnsi="Georgia" w:cs="Times New Roman"/>
          <w:color w:val="666666"/>
          <w:sz w:val="24"/>
          <w:szCs w:val="24"/>
        </w:rPr>
        <w:t xml:space="preserve"> et </w:t>
      </w:r>
      <w:proofErr w:type="spellStart"/>
      <w:r w:rsidRPr="003005EB">
        <w:rPr>
          <w:rFonts w:ascii="Georgia" w:eastAsia="Times New Roman" w:hAnsi="Georgia" w:cs="Times New Roman"/>
          <w:color w:val="666666"/>
          <w:sz w:val="24"/>
          <w:szCs w:val="24"/>
        </w:rPr>
        <w:t>réseautage</w:t>
      </w:r>
      <w:proofErr w:type="spellEnd"/>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La connaissance de l’Afrique centrale, et de la RDC en particulier, est un avantage </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Valeurs et personnalité en phase avec la fonction : leadership, empathie, flexibilité, respect, résistance à la pression, rigueur et diplomatie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Bonnes aptitudes de planification, d’organisation et de coaching d’une équipe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Disponibilité et intérêt pour des déplacements, notamment en zone rurale</w:t>
      </w:r>
    </w:p>
    <w:p w:rsidR="003005EB" w:rsidRPr="003005EB" w:rsidRDefault="003005EB" w:rsidP="003005EB">
      <w:pPr>
        <w:numPr>
          <w:ilvl w:val="0"/>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Excellente maîtrise orale et écrite du français et connaissance de l’anglais est un plus</w:t>
      </w:r>
    </w:p>
    <w:p w:rsidR="003005EB" w:rsidRPr="003005EB" w:rsidRDefault="003005EB" w:rsidP="003005EB">
      <w:pPr>
        <w:numPr>
          <w:ilvl w:val="0"/>
          <w:numId w:val="1"/>
        </w:numPr>
        <w:shd w:val="clear" w:color="auto" w:fill="F5F5F5"/>
        <w:spacing w:after="270" w:line="345" w:lineRule="atLeast"/>
        <w:ind w:left="0"/>
        <w:rPr>
          <w:rFonts w:ascii="Georgia" w:eastAsia="Times New Roman" w:hAnsi="Georgia" w:cs="Times New Roman"/>
          <w:color w:val="666666"/>
          <w:sz w:val="24"/>
          <w:szCs w:val="24"/>
        </w:rPr>
      </w:pPr>
      <w:r w:rsidRPr="003005EB">
        <w:rPr>
          <w:rFonts w:ascii="Georgia" w:eastAsia="Times New Roman" w:hAnsi="Georgia" w:cs="Times New Roman"/>
          <w:b/>
          <w:bCs/>
          <w:color w:val="333333"/>
          <w:sz w:val="24"/>
          <w:szCs w:val="24"/>
        </w:rPr>
        <w:t>Conditions :</w:t>
      </w:r>
    </w:p>
    <w:p w:rsidR="003005EB" w:rsidRPr="003005EB" w:rsidRDefault="003005EB" w:rsidP="003005EB">
      <w:pPr>
        <w:numPr>
          <w:ilvl w:val="1"/>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Lieu de travail : RDC - Bukavu, avec déplacements réguliers dans les différentes zones d’intervention de Louvain Coopération</w:t>
      </w:r>
    </w:p>
    <w:p w:rsidR="003005EB" w:rsidRPr="003005EB" w:rsidRDefault="003005EB" w:rsidP="003005EB">
      <w:pPr>
        <w:numPr>
          <w:ilvl w:val="1"/>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Contrat de travail : Statut d’expatrié, CDI, temps plein</w:t>
      </w:r>
    </w:p>
    <w:p w:rsidR="003005EB" w:rsidRPr="003005EB" w:rsidRDefault="003005EB" w:rsidP="003005EB">
      <w:pPr>
        <w:numPr>
          <w:ilvl w:val="1"/>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lastRenderedPageBreak/>
        <w:t>         Niveau de salaire en fonction des barèmes internes</w:t>
      </w:r>
    </w:p>
    <w:p w:rsidR="003005EB" w:rsidRPr="003005EB" w:rsidRDefault="003005EB" w:rsidP="003005EB">
      <w:pPr>
        <w:numPr>
          <w:ilvl w:val="1"/>
          <w:numId w:val="1"/>
        </w:numPr>
        <w:shd w:val="clear" w:color="auto" w:fill="F5F5F5"/>
        <w:spacing w:before="100" w:beforeAutospacing="1" w:after="10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Date d’entrée en fonction : le plus tôt possible.</w:t>
      </w:r>
    </w:p>
    <w:p w:rsidR="003005EB" w:rsidRPr="003005EB" w:rsidRDefault="003005EB" w:rsidP="003005EB">
      <w:pPr>
        <w:numPr>
          <w:ilvl w:val="1"/>
          <w:numId w:val="1"/>
        </w:numPr>
        <w:shd w:val="clear" w:color="auto" w:fill="F5F5F5"/>
        <w:spacing w:beforeAutospacing="1" w:after="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Site web de Louvain Coopération au Développement : </w:t>
      </w:r>
      <w:hyperlink r:id="rId5" w:history="1">
        <w:r w:rsidRPr="003005EB">
          <w:rPr>
            <w:rFonts w:ascii="Georgia" w:eastAsia="Times New Roman" w:hAnsi="Georgia" w:cs="Times New Roman"/>
            <w:color w:val="555555"/>
            <w:sz w:val="24"/>
            <w:szCs w:val="24"/>
            <w:u w:val="single"/>
            <w:lang w:val="fr-BE"/>
          </w:rPr>
          <w:t>www.louvaincooperation.org</w:t>
        </w:r>
      </w:hyperlink>
    </w:p>
    <w:p w:rsidR="003005EB" w:rsidRPr="003005EB" w:rsidRDefault="003005EB" w:rsidP="003005EB">
      <w:pPr>
        <w:numPr>
          <w:ilvl w:val="1"/>
          <w:numId w:val="1"/>
        </w:numPr>
        <w:shd w:val="clear" w:color="auto" w:fill="F5F5F5"/>
        <w:spacing w:beforeAutospacing="1" w:after="0" w:afterAutospacing="1" w:line="375" w:lineRule="atLeast"/>
        <w:ind w:left="0"/>
        <w:rPr>
          <w:rFonts w:ascii="Georgia" w:eastAsia="Times New Roman" w:hAnsi="Georgia" w:cs="Times New Roman"/>
          <w:color w:val="666666"/>
          <w:sz w:val="24"/>
          <w:szCs w:val="24"/>
          <w:lang w:val="fr-BE"/>
        </w:rPr>
      </w:pPr>
      <w:r w:rsidRPr="003005EB">
        <w:rPr>
          <w:rFonts w:ascii="Georgia" w:eastAsia="Times New Roman" w:hAnsi="Georgia" w:cs="Times New Roman"/>
          <w:color w:val="666666"/>
          <w:sz w:val="24"/>
          <w:szCs w:val="24"/>
          <w:lang w:val="fr-BE"/>
        </w:rPr>
        <w:t xml:space="preserve">         Envoyez votre CV et une lettre de motivation par e-mail à Roger </w:t>
      </w:r>
      <w:proofErr w:type="spellStart"/>
      <w:r w:rsidRPr="003005EB">
        <w:rPr>
          <w:rFonts w:ascii="Georgia" w:eastAsia="Times New Roman" w:hAnsi="Georgia" w:cs="Times New Roman"/>
          <w:color w:val="666666"/>
          <w:sz w:val="24"/>
          <w:szCs w:val="24"/>
          <w:lang w:val="fr-BE"/>
        </w:rPr>
        <w:t>Matagne</w:t>
      </w:r>
      <w:proofErr w:type="spellEnd"/>
      <w:r w:rsidRPr="003005EB">
        <w:rPr>
          <w:rFonts w:ascii="Georgia" w:eastAsia="Times New Roman" w:hAnsi="Georgia" w:cs="Times New Roman"/>
          <w:color w:val="666666"/>
          <w:sz w:val="24"/>
          <w:szCs w:val="24"/>
          <w:lang w:val="fr-BE"/>
        </w:rPr>
        <w:t xml:space="preserve"> à l’adresse suivante : </w:t>
      </w:r>
      <w:hyperlink r:id="rId6" w:history="1">
        <w:r w:rsidRPr="003005EB">
          <w:rPr>
            <w:rFonts w:ascii="Georgia" w:eastAsia="Times New Roman" w:hAnsi="Georgia" w:cs="Times New Roman"/>
            <w:color w:val="555555"/>
            <w:sz w:val="24"/>
            <w:szCs w:val="24"/>
            <w:u w:val="single"/>
            <w:lang w:val="fr-BE"/>
          </w:rPr>
          <w:t>rmatagne@louvaincooperation.org</w:t>
        </w:r>
      </w:hyperlink>
      <w:r w:rsidRPr="003005EB">
        <w:rPr>
          <w:rFonts w:ascii="Georgia" w:eastAsia="Times New Roman" w:hAnsi="Georgia" w:cs="Times New Roman"/>
          <w:b/>
          <w:bCs/>
          <w:color w:val="333333"/>
          <w:sz w:val="24"/>
          <w:szCs w:val="24"/>
          <w:lang w:val="fr-BE"/>
        </w:rPr>
        <w:t>au plus tard le 30/06/2017.</w:t>
      </w:r>
    </w:p>
    <w:p w:rsidR="00322508" w:rsidRPr="003005EB" w:rsidRDefault="00322508" w:rsidP="003005EB">
      <w:pPr>
        <w:rPr>
          <w:lang w:val="fr-BE"/>
        </w:rPr>
      </w:pPr>
    </w:p>
    <w:sectPr w:rsidR="00322508" w:rsidRPr="003005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7766"/>
    <w:multiLevelType w:val="multilevel"/>
    <w:tmpl w:val="A8C2A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08"/>
    <w:rsid w:val="003005EB"/>
    <w:rsid w:val="00322508"/>
    <w:rsid w:val="004601F3"/>
    <w:rsid w:val="00530770"/>
    <w:rsid w:val="00987466"/>
    <w:rsid w:val="00B2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7F9E-0441-4453-9448-212FFF25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00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05EB"/>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300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3005EB"/>
  </w:style>
  <w:style w:type="character" w:styleId="Zwaar">
    <w:name w:val="Strong"/>
    <w:basedOn w:val="Standaardalinea-lettertype"/>
    <w:uiPriority w:val="22"/>
    <w:qFormat/>
    <w:rsid w:val="003005EB"/>
    <w:rPr>
      <w:b/>
      <w:bCs/>
    </w:rPr>
  </w:style>
  <w:style w:type="character" w:styleId="Hyperlink">
    <w:name w:val="Hyperlink"/>
    <w:basedOn w:val="Standaardalinea-lettertype"/>
    <w:uiPriority w:val="99"/>
    <w:semiHidden/>
    <w:unhideWhenUsed/>
    <w:rsid w:val="00300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1907">
      <w:bodyDiv w:val="1"/>
      <w:marLeft w:val="0"/>
      <w:marRight w:val="0"/>
      <w:marTop w:val="0"/>
      <w:marBottom w:val="0"/>
      <w:divBdr>
        <w:top w:val="none" w:sz="0" w:space="0" w:color="auto"/>
        <w:left w:val="none" w:sz="0" w:space="0" w:color="auto"/>
        <w:bottom w:val="none" w:sz="0" w:space="0" w:color="auto"/>
        <w:right w:val="none" w:sz="0" w:space="0" w:color="auto"/>
      </w:divBdr>
      <w:divsChild>
        <w:div w:id="94523575">
          <w:marLeft w:val="0"/>
          <w:marRight w:val="0"/>
          <w:marTop w:val="0"/>
          <w:marBottom w:val="0"/>
          <w:divBdr>
            <w:top w:val="none" w:sz="0" w:space="0" w:color="auto"/>
            <w:left w:val="none" w:sz="0" w:space="0" w:color="auto"/>
            <w:bottom w:val="none" w:sz="0" w:space="0" w:color="auto"/>
            <w:right w:val="none" w:sz="0" w:space="0" w:color="auto"/>
          </w:divBdr>
          <w:divsChild>
            <w:div w:id="10161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atagne@louvaincooperation.org" TargetMode="External"/><Relationship Id="rId5" Type="http://schemas.openxmlformats.org/officeDocument/2006/relationships/hyperlink" Target="http://www.louvaincooperation.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979</Words>
  <Characters>5581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Bouwen</dc:creator>
  <cp:keywords/>
  <dc:description/>
  <cp:lastModifiedBy>Denis Bouwen</cp:lastModifiedBy>
  <cp:revision>1</cp:revision>
  <dcterms:created xsi:type="dcterms:W3CDTF">2017-05-10T14:05:00Z</dcterms:created>
  <dcterms:modified xsi:type="dcterms:W3CDTF">2017-05-10T14:59:00Z</dcterms:modified>
</cp:coreProperties>
</file>